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xml:space="preserve">), nomeado(a) pela Portaria nº ......, de </w:t>
      </w:r>
      <w:proofErr w:type="gramStart"/>
      <w:r w:rsidRPr="00CD7B93">
        <w:rPr>
          <w:rFonts w:ascii="Arial" w:eastAsia="Arial" w:hAnsi="Arial" w:cs="Arial"/>
          <w:color w:val="000000" w:themeColor="text1"/>
          <w:sz w:val="20"/>
          <w:szCs w:val="20"/>
        </w:rPr>
        <w:t>.....</w:t>
      </w:r>
      <w:proofErr w:type="gramEnd"/>
      <w:r w:rsidRPr="00CD7B93">
        <w:rPr>
          <w:rFonts w:ascii="Arial" w:eastAsia="Arial" w:hAnsi="Arial" w:cs="Arial"/>
          <w:color w:val="000000" w:themeColor="text1"/>
          <w:sz w:val="20"/>
          <w:szCs w:val="20"/>
        </w:rPr>
        <w:t xml:space="preserve">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w:t>
      </w:r>
      <w:proofErr w:type="gramStart"/>
      <w:r w:rsidRPr="00CD7B93">
        <w:rPr>
          <w:rFonts w:ascii="Arial" w:eastAsia="Arial" w:hAnsi="Arial" w:cs="Arial"/>
          <w:color w:val="000000" w:themeColor="text1"/>
          <w:sz w:val="20"/>
          <w:szCs w:val="20"/>
        </w:rPr>
        <w:t>.....</w:t>
      </w:r>
      <w:proofErr w:type="gramEnd"/>
      <w:r w:rsidRPr="00CD7B93">
        <w:rPr>
          <w:rFonts w:ascii="Arial" w:eastAsia="Arial" w:hAnsi="Arial" w:cs="Arial"/>
          <w:color w:val="000000" w:themeColor="text1"/>
          <w:sz w:val="20"/>
          <w:szCs w:val="20"/>
        </w:rPr>
        <w:t xml:space="preserve">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1"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2"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3"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4"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TERCEIRA – MODELOS DE EXECUÇÃO E GESTÃO CONTRATUAIS (</w:t>
      </w:r>
      <w:hyperlink r:id="rId15"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w:t>
      </w:r>
      <w:proofErr w:type="gramStart"/>
      <w:r w:rsidRPr="00CD7B93">
        <w:rPr>
          <w:color w:val="000000" w:themeColor="text1"/>
        </w:rPr>
        <w:t>.....</w:t>
      </w:r>
      <w:proofErr w:type="gramEnd"/>
      <w:r w:rsidRPr="00CD7B93">
        <w:rPr>
          <w:color w:val="000000" w:themeColor="text1"/>
        </w:rPr>
        <w:t xml:space="preserve">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w:t>
      </w:r>
      <w:r w:rsidRPr="00CD7B93">
        <w:rPr>
          <w:color w:val="000000" w:themeColor="text1"/>
        </w:rPr>
        <w:lastRenderedPageBreak/>
        <w:t>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w:t>
      </w:r>
      <w:proofErr w:type="gramStart"/>
      <w:r w:rsidRPr="00CD7B93">
        <w:rPr>
          <w:color w:val="000000" w:themeColor="text1"/>
          <w:lang w:eastAsia="en-US"/>
        </w:rPr>
        <w:t>.....</w:t>
      </w:r>
      <w:proofErr w:type="gramEnd"/>
      <w:r w:rsidRPr="00CD7B93">
        <w:rPr>
          <w:color w:val="000000" w:themeColor="text1"/>
          <w:lang w:eastAsia="en-US"/>
        </w:rPr>
        <w:t>),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6"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7"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w:t>
      </w:r>
      <w:proofErr w:type="spellStart"/>
      <w:r w:rsidRPr="00CD7B93">
        <w:rPr>
          <w:color w:val="000000" w:themeColor="text1"/>
        </w:rPr>
        <w:t>ão</w:t>
      </w:r>
      <w:proofErr w:type="spellEnd"/>
      <w:r w:rsidRPr="00CD7B93">
        <w:rPr>
          <w:color w:val="000000" w:themeColor="text1"/>
        </w:rPr>
        <w:t>),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Caso o(s) índice(s) estabelecido(s) para reajustamento venha(m) a ser extinto(s) ou de qualquer forma não possa(m) mais ser utilizado(s), será(</w:t>
      </w:r>
      <w:proofErr w:type="spellStart"/>
      <w:r w:rsidRPr="00CD7B93">
        <w:rPr>
          <w:color w:val="000000" w:themeColor="text1"/>
        </w:rPr>
        <w:t>ão</w:t>
      </w:r>
      <w:proofErr w:type="spellEnd"/>
      <w:r w:rsidRPr="00CD7B93">
        <w:rPr>
          <w:color w:val="000000" w:themeColor="text1"/>
        </w:rPr>
        <w:t>)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8"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w:t>
      </w:r>
      <w:proofErr w:type="spellStart"/>
      <w:r w:rsidRPr="00CD7B93">
        <w:rPr>
          <w:bCs/>
          <w:color w:val="000000" w:themeColor="text1"/>
        </w:rPr>
        <w:t>pertine</w:t>
      </w:r>
      <w:proofErr w:type="spellEnd"/>
      <w:r w:rsidRPr="00CD7B93">
        <w:rPr>
          <w:bCs/>
          <w:color w:val="000000" w:themeColor="text1"/>
        </w:rPr>
        <w:t xml:space="preserve"> à parcela incontroversa da execução do objeto, para efeito de liquidação e pagamento, quando houver controvérsia sobre a execução do objeto, quanto à dimensão, qualidade e quantidade, conforme o </w:t>
      </w:r>
      <w:hyperlink r:id="rId19"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0"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1"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2"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w:t>
      </w:r>
      <w:r w:rsidRPr="00CD7B93">
        <w:rPr>
          <w:color w:val="000000" w:themeColor="text1"/>
        </w:rPr>
        <w:lastRenderedPageBreak/>
        <w:t xml:space="preserve">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4"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0"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1"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6"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7"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8"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A apólice do seguro garantia deverá acompanhar as modificações referentes à vigência do contrato principal mediante a emissão do respectivo endosso pela seguradora.</w:t>
      </w:r>
    </w:p>
    <w:p w14:paraId="72E5D27F" w14:textId="4666820B"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DB3096">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2"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3" w:name="_Ref118297166"/>
      <w:r w:rsidRPr="00CD7B93">
        <w:rPr>
          <w:color w:val="000000" w:themeColor="text1"/>
        </w:rPr>
        <w:t>A garantia assegurará, qualquer que seja a modalidade escolhida, o pagamento de:</w:t>
      </w:r>
      <w:bookmarkEnd w:id="3"/>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06B8CFD3"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DB3096">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0"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2" w:anchor="art96" w:history="1">
        <w:proofErr w:type="spellStart"/>
        <w:r w:rsidRPr="00CD7B93">
          <w:rPr>
            <w:rStyle w:val="Hyperlink"/>
            <w:color w:val="000000" w:themeColor="text1"/>
          </w:rPr>
          <w:t>arts</w:t>
        </w:r>
        <w:proofErr w:type="spellEnd"/>
        <w:r w:rsidRPr="00CD7B93">
          <w:rPr>
            <w:rStyle w:val="Hyperlink"/>
            <w:color w:val="000000" w:themeColor="text1"/>
          </w:rPr>
          <w:t>.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3"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4"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lastRenderedPageBreak/>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5"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6" w:anchor="art156§2" w:history="1">
        <w:r w:rsidRPr="00CD7B93">
          <w:rPr>
            <w:rStyle w:val="Hyperlink"/>
            <w:rFonts w:ascii="Arial" w:eastAsia="Arial" w:hAnsi="Arial" w:cs="Arial"/>
            <w:color w:val="000000" w:themeColor="text1"/>
            <w:sz w:val="20"/>
            <w:szCs w:val="20"/>
          </w:rPr>
          <w:t xml:space="preserve">art. 156, §2º, da </w:t>
        </w:r>
        <w:bookmarkStart w:id="4" w:name="_Hlk114504069"/>
        <w:r w:rsidRPr="00CD7B93">
          <w:rPr>
            <w:rStyle w:val="Hyperlink"/>
            <w:rFonts w:ascii="Arial" w:eastAsia="Arial" w:hAnsi="Arial" w:cs="Arial"/>
            <w:color w:val="000000" w:themeColor="text1"/>
            <w:sz w:val="20"/>
            <w:szCs w:val="20"/>
          </w:rPr>
          <w:t>Lei nº 14.133, de 2021</w:t>
        </w:r>
        <w:bookmarkEnd w:id="4"/>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7"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8"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moratória de </w:t>
      </w:r>
      <w:proofErr w:type="gramStart"/>
      <w:r w:rsidRPr="00CD7B93">
        <w:rPr>
          <w:rFonts w:ascii="Arial" w:eastAsia="Arial" w:hAnsi="Arial" w:cs="Arial"/>
          <w:color w:val="000000" w:themeColor="text1"/>
          <w:sz w:val="20"/>
          <w:szCs w:val="20"/>
        </w:rPr>
        <w:t>.....</w:t>
      </w:r>
      <w:proofErr w:type="gramEnd"/>
      <w:r w:rsidRPr="00CD7B93">
        <w:rPr>
          <w:rFonts w:ascii="Arial" w:eastAsia="Arial" w:hAnsi="Arial" w:cs="Arial"/>
          <w:color w:val="000000" w:themeColor="text1"/>
          <w:sz w:val="20"/>
          <w:szCs w:val="20"/>
        </w:rPr>
        <w:t>% (</w:t>
      </w:r>
      <w:proofErr w:type="gramStart"/>
      <w:r w:rsidRPr="00CD7B93">
        <w:rPr>
          <w:rFonts w:ascii="Arial" w:eastAsia="Arial" w:hAnsi="Arial" w:cs="Arial"/>
          <w:color w:val="000000" w:themeColor="text1"/>
          <w:sz w:val="20"/>
          <w:szCs w:val="20"/>
        </w:rPr>
        <w:t>.....</w:t>
      </w:r>
      <w:proofErr w:type="gramEnd"/>
      <w:r w:rsidRPr="00CD7B93">
        <w:rPr>
          <w:rFonts w:ascii="Arial" w:eastAsia="Arial" w:hAnsi="Arial" w:cs="Arial"/>
          <w:color w:val="000000" w:themeColor="text1"/>
          <w:sz w:val="20"/>
          <w:szCs w:val="20"/>
        </w:rPr>
        <w:t xml:space="preserve">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moratória de </w:t>
      </w:r>
      <w:proofErr w:type="gramStart"/>
      <w:r w:rsidRPr="00CD7B93">
        <w:rPr>
          <w:rFonts w:ascii="Arial" w:eastAsia="Arial" w:hAnsi="Arial" w:cs="Arial"/>
          <w:i/>
          <w:iCs/>
          <w:color w:val="000000" w:themeColor="text1"/>
          <w:sz w:val="20"/>
          <w:szCs w:val="20"/>
        </w:rPr>
        <w:t>.....</w:t>
      </w:r>
      <w:proofErr w:type="gramEnd"/>
      <w:r w:rsidRPr="00CD7B93">
        <w:rPr>
          <w:rFonts w:ascii="Arial" w:eastAsia="Arial" w:hAnsi="Arial" w:cs="Arial"/>
          <w:i/>
          <w:iCs/>
          <w:color w:val="000000" w:themeColor="text1"/>
          <w:sz w:val="20"/>
          <w:szCs w:val="20"/>
        </w:rPr>
        <w:t>% (</w:t>
      </w:r>
      <w:proofErr w:type="gramStart"/>
      <w:r w:rsidRPr="00CD7B93">
        <w:rPr>
          <w:rFonts w:ascii="Arial" w:eastAsia="Arial" w:hAnsi="Arial" w:cs="Arial"/>
          <w:i/>
          <w:iCs/>
          <w:color w:val="000000" w:themeColor="text1"/>
          <w:sz w:val="20"/>
          <w:szCs w:val="20"/>
        </w:rPr>
        <w:t>.....</w:t>
      </w:r>
      <w:proofErr w:type="gramEnd"/>
      <w:r w:rsidRPr="00CD7B93">
        <w:rPr>
          <w:rFonts w:ascii="Arial" w:eastAsia="Arial" w:hAnsi="Arial" w:cs="Arial"/>
          <w:i/>
          <w:iCs/>
          <w:color w:val="000000" w:themeColor="text1"/>
          <w:sz w:val="20"/>
          <w:szCs w:val="20"/>
        </w:rPr>
        <w:t xml:space="preserve"> por cento) por dia de atraso injustificado sobre o valor total do contrato, até o máximo de </w:t>
      </w:r>
      <w:proofErr w:type="gramStart"/>
      <w:r w:rsidRPr="00CD7B93">
        <w:rPr>
          <w:rFonts w:ascii="Arial" w:eastAsia="Arial" w:hAnsi="Arial" w:cs="Arial"/>
          <w:i/>
          <w:iCs/>
          <w:color w:val="000000" w:themeColor="text1"/>
          <w:sz w:val="20"/>
          <w:szCs w:val="20"/>
        </w:rPr>
        <w:t>.....</w:t>
      </w:r>
      <w:proofErr w:type="gramEnd"/>
      <w:r w:rsidRPr="00CD7B93">
        <w:rPr>
          <w:rFonts w:ascii="Arial" w:eastAsia="Arial" w:hAnsi="Arial" w:cs="Arial"/>
          <w:i/>
          <w:iCs/>
          <w:color w:val="000000" w:themeColor="text1"/>
          <w:sz w:val="20"/>
          <w:szCs w:val="20"/>
        </w:rPr>
        <w:t>%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39"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0"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1"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5" w:name="_Hlk78351618"/>
      <w:bookmarkEnd w:id="5"/>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3"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4"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5"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6"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7"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7B93">
        <w:rPr>
          <w:color w:val="000000" w:themeColor="text1"/>
        </w:rPr>
        <w:t>Ceis</w:t>
      </w:r>
      <w:proofErr w:type="spellEnd"/>
      <w:r w:rsidRPr="00CD7B93">
        <w:rPr>
          <w:color w:val="000000" w:themeColor="text1"/>
        </w:rPr>
        <w:t>) e no Cadastro Nacional de Empresas Punidas (</w:t>
      </w:r>
      <w:proofErr w:type="spellStart"/>
      <w:r w:rsidRPr="00CD7B93">
        <w:rPr>
          <w:color w:val="000000" w:themeColor="text1"/>
        </w:rPr>
        <w:t>Cnep</w:t>
      </w:r>
      <w:proofErr w:type="spellEnd"/>
      <w:r w:rsidRPr="00CD7B93">
        <w:rPr>
          <w:color w:val="000000" w:themeColor="text1"/>
        </w:rPr>
        <w:t>), instituídos no âmbito do Poder Executivo Federal. (</w:t>
      </w:r>
      <w:hyperlink r:id="rId49"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0"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2"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 contrato pode ser extinto antes de cumpridas as obrigações nele estipuladas, ou antes do prazo nele fixado, por algum dos motivos previstos no </w:t>
      </w:r>
      <w:hyperlink r:id="rId53"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4"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5"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6"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DÉCIMA QUARTA – DOS CASOS OMISSOS (</w:t>
      </w:r>
      <w:hyperlink r:id="rId57"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8"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59"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0" w:anchor="art124" w:history="1">
        <w:proofErr w:type="spellStart"/>
        <w:r w:rsidRPr="00CD7B93">
          <w:rPr>
            <w:rStyle w:val="Hyperlink"/>
            <w:color w:val="000000" w:themeColor="text1"/>
          </w:rPr>
          <w:t>arts</w:t>
        </w:r>
        <w:proofErr w:type="spellEnd"/>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1"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2"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3" w:anchor="art8§2" w:history="1">
        <w:r w:rsidRPr="00CD7B93">
          <w:rPr>
            <w:rStyle w:val="Hyperlink"/>
            <w:color w:val="000000" w:themeColor="text1"/>
          </w:rPr>
          <w:t>art. 8º, §2º, da Lei n. 12.527, de 2011</w:t>
        </w:r>
      </w:hyperlink>
      <w:r w:rsidRPr="00CD7B93">
        <w:rPr>
          <w:color w:val="000000" w:themeColor="text1"/>
        </w:rPr>
        <w:t xml:space="preserve">, c/c </w:t>
      </w:r>
      <w:hyperlink r:id="rId64"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5"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6"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lastRenderedPageBreak/>
        <w:t xml:space="preserve">2- </w:t>
      </w:r>
    </w:p>
    <w:sectPr w:rsidR="00DC41DD" w:rsidRPr="00CD7B93"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D9BC4" w14:textId="77777777" w:rsidR="003C3FA1" w:rsidRDefault="003C3FA1">
      <w:pPr>
        <w:rPr>
          <w:rFonts w:hint="eastAsia"/>
        </w:rPr>
      </w:pPr>
      <w:r>
        <w:separator/>
      </w:r>
    </w:p>
  </w:endnote>
  <w:endnote w:type="continuationSeparator" w:id="0">
    <w:p w14:paraId="59D515C4" w14:textId="77777777" w:rsidR="003C3FA1" w:rsidRDefault="003C3FA1">
      <w:pPr>
        <w:rPr>
          <w:rFonts w:hint="eastAsia"/>
        </w:rPr>
      </w:pPr>
      <w:r>
        <w:continuationSeparator/>
      </w:r>
    </w:p>
  </w:endnote>
  <w:endnote w:type="continuationNotice" w:id="1">
    <w:p w14:paraId="45D419B0" w14:textId="77777777" w:rsidR="003C3FA1" w:rsidRDefault="003C3FA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A0AA" w14:textId="77777777" w:rsidR="003C3FA1" w:rsidRDefault="003C3FA1">
      <w:pPr>
        <w:rPr>
          <w:rFonts w:hint="eastAsia"/>
        </w:rPr>
      </w:pPr>
      <w:r>
        <w:separator/>
      </w:r>
    </w:p>
  </w:footnote>
  <w:footnote w:type="continuationSeparator" w:id="0">
    <w:p w14:paraId="6798FB55" w14:textId="77777777" w:rsidR="003C3FA1" w:rsidRDefault="003C3FA1">
      <w:pPr>
        <w:rPr>
          <w:rFonts w:hint="eastAsia"/>
        </w:rPr>
      </w:pPr>
      <w:r>
        <w:continuationSeparator/>
      </w:r>
    </w:p>
  </w:footnote>
  <w:footnote w:type="continuationNotice" w:id="1">
    <w:p w14:paraId="5000F489" w14:textId="77777777" w:rsidR="003C3FA1" w:rsidRDefault="003C3FA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49487199">
    <w:abstractNumId w:val="6"/>
  </w:num>
  <w:num w:numId="2" w16cid:durableId="548152641">
    <w:abstractNumId w:val="0"/>
  </w:num>
  <w:num w:numId="3" w16cid:durableId="2039771753">
    <w:abstractNumId w:val="19"/>
  </w:num>
  <w:num w:numId="4" w16cid:durableId="1525905498">
    <w:abstractNumId w:val="20"/>
  </w:num>
  <w:num w:numId="5" w16cid:durableId="1249584657">
    <w:abstractNumId w:val="11"/>
  </w:num>
  <w:num w:numId="6" w16cid:durableId="1947618786">
    <w:abstractNumId w:val="8"/>
  </w:num>
  <w:num w:numId="7" w16cid:durableId="1385444495">
    <w:abstractNumId w:val="15"/>
  </w:num>
  <w:num w:numId="8" w16cid:durableId="1267616494">
    <w:abstractNumId w:val="17"/>
  </w:num>
  <w:num w:numId="9" w16cid:durableId="1875072765">
    <w:abstractNumId w:val="6"/>
    <w:lvlOverride w:ilvl="0"/>
    <w:lvlOverride w:ilvl="1">
      <w:startOverride w:val="2"/>
    </w:lvlOverride>
    <w:lvlOverride w:ilvl="2"/>
    <w:lvlOverride w:ilvl="3"/>
    <w:lvlOverride w:ilvl="4"/>
    <w:lvlOverride w:ilvl="5"/>
    <w:lvlOverride w:ilvl="6"/>
    <w:lvlOverride w:ilvl="7"/>
    <w:lvlOverride w:ilvl="8"/>
  </w:num>
  <w:num w:numId="10" w16cid:durableId="1150293441">
    <w:abstractNumId w:val="6"/>
    <w:lvlOverride w:ilvl="0"/>
    <w:lvlOverride w:ilvl="1">
      <w:startOverride w:val="2"/>
    </w:lvlOverride>
    <w:lvlOverride w:ilvl="2"/>
    <w:lvlOverride w:ilvl="3"/>
    <w:lvlOverride w:ilvl="4"/>
    <w:lvlOverride w:ilvl="5"/>
    <w:lvlOverride w:ilvl="6"/>
    <w:lvlOverride w:ilvl="7"/>
    <w:lvlOverride w:ilvl="8"/>
  </w:num>
  <w:num w:numId="11" w16cid:durableId="272791361">
    <w:abstractNumId w:val="6"/>
    <w:lvlOverride w:ilvl="0"/>
    <w:lvlOverride w:ilvl="1">
      <w:startOverride w:val="2"/>
    </w:lvlOverride>
    <w:lvlOverride w:ilvl="2"/>
    <w:lvlOverride w:ilvl="3"/>
    <w:lvlOverride w:ilvl="4"/>
    <w:lvlOverride w:ilvl="5"/>
    <w:lvlOverride w:ilvl="6"/>
    <w:lvlOverride w:ilvl="7"/>
    <w:lvlOverride w:ilvl="8"/>
  </w:num>
  <w:num w:numId="12" w16cid:durableId="467548274">
    <w:abstractNumId w:val="10"/>
  </w:num>
  <w:num w:numId="13" w16cid:durableId="1361516249">
    <w:abstractNumId w:val="7"/>
  </w:num>
  <w:num w:numId="14" w16cid:durableId="1099105678">
    <w:abstractNumId w:val="5"/>
  </w:num>
  <w:num w:numId="15" w16cid:durableId="1420639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4843587">
    <w:abstractNumId w:val="1"/>
  </w:num>
  <w:num w:numId="17" w16cid:durableId="40177701">
    <w:abstractNumId w:val="2"/>
  </w:num>
  <w:num w:numId="18" w16cid:durableId="672925462">
    <w:abstractNumId w:val="3"/>
  </w:num>
  <w:num w:numId="19" w16cid:durableId="877862370">
    <w:abstractNumId w:val="21"/>
  </w:num>
  <w:num w:numId="20" w16cid:durableId="2001885417">
    <w:abstractNumId w:val="21"/>
  </w:num>
  <w:num w:numId="21" w16cid:durableId="1427505927">
    <w:abstractNumId w:val="16"/>
  </w:num>
  <w:num w:numId="22" w16cid:durableId="1024526210">
    <w:abstractNumId w:val="16"/>
  </w:num>
  <w:num w:numId="23" w16cid:durableId="1686057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004529">
    <w:abstractNumId w:val="14"/>
  </w:num>
  <w:num w:numId="25" w16cid:durableId="1254583530">
    <w:abstractNumId w:val="12"/>
  </w:num>
  <w:num w:numId="26" w16cid:durableId="1334141431">
    <w:abstractNumId w:val="13"/>
  </w:num>
  <w:num w:numId="27" w16cid:durableId="66999676">
    <w:abstractNumId w:val="18"/>
  </w:num>
  <w:num w:numId="28" w16cid:durableId="625477201">
    <w:abstractNumId w:val="6"/>
  </w:num>
  <w:num w:numId="29" w16cid:durableId="588463876">
    <w:abstractNumId w:val="6"/>
  </w:num>
  <w:num w:numId="30" w16cid:durableId="1121533923">
    <w:abstractNumId w:val="6"/>
  </w:num>
  <w:num w:numId="31" w16cid:durableId="253630739">
    <w:abstractNumId w:val="6"/>
  </w:num>
  <w:num w:numId="32" w16cid:durableId="1876963943">
    <w:abstractNumId w:val="4"/>
  </w:num>
  <w:num w:numId="33" w16cid:durableId="212711437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56A"/>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3FA1"/>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8E1"/>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333"/>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4A6"/>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096"/>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B35"/>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8D9"/>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30C88-C83A-4F9B-B537-88CC61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5775</Words>
  <Characters>31185</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2026-02-26T13:32:00Z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